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TMW: Board Resolution No 03</w:t>
      </w:r>
    </w:p>
    <w:p>
      <w:pPr>
        <w:pStyle w:val="Normal"/>
        <w:rPr/>
      </w:pPr>
      <w:r>
        <w:rPr/>
        <w:t>On 24 Mar 2020, Tan Mai General Wood Joint Stock Company announced Board Resolution No. 03/ MQ. HDQT on approving the business operation plan for 2019, plan for 2020 and preparation for the Annual General Meeting of Shareholders of 2020 as follows:</w:t>
      </w:r>
    </w:p>
    <w:p>
      <w:pPr>
        <w:pStyle w:val="Normal"/>
        <w:rPr/>
      </w:pPr>
      <w:r>
        <w:rPr/>
        <w:t>Article 01:</w:t>
      </w:r>
    </w:p>
    <w:p>
      <w:pPr>
        <w:pStyle w:val="Normal"/>
        <w:numPr>
          <w:ilvl w:val="0"/>
          <w:numId w:val="2"/>
        </w:numPr>
        <w:rPr/>
      </w:pPr>
      <w:r>
        <w:rPr/>
        <w:t>Approve the business operation plan for 2019 and plan for 2020 as follows:</w:t>
      </w:r>
    </w:p>
    <w:tbl>
      <w:tblPr>
        <w:tblW w:w="9586" w:type="dxa"/>
        <w:jc w:val="left"/>
        <w:tblInd w:w="-113" w:type="dxa"/>
        <w:tblCellMar>
          <w:top w:w="0" w:type="dxa"/>
          <w:left w:w="108" w:type="dxa"/>
          <w:bottom w:w="0" w:type="dxa"/>
          <w:right w:w="108" w:type="dxa"/>
        </w:tblCellMar>
      </w:tblPr>
      <w:tblGrid>
        <w:gridCol w:w="2943"/>
        <w:gridCol w:w="1845"/>
        <w:gridCol w:w="2394"/>
        <w:gridCol w:w="2404"/>
      </w:tblGrid>
      <w:tr>
        <w:trPr/>
        <w:tc>
          <w:tcPr>
            <w:tcW w:w="2943" w:type="dxa"/>
            <w:tcBorders>
              <w:top w:val="single" w:sz="4" w:space="0" w:color="000000"/>
              <w:left w:val="single" w:sz="4" w:space="0" w:color="000000"/>
              <w:bottom w:val="single" w:sz="4" w:space="0" w:color="000000"/>
            </w:tcBorders>
            <w:shd w:fill="auto" w:val="clear"/>
          </w:tcPr>
          <w:p>
            <w:pPr>
              <w:pStyle w:val="Normal"/>
              <w:rPr/>
            </w:pPr>
            <w:r>
              <w:rPr/>
              <w:t>Target</w:t>
            </w:r>
          </w:p>
        </w:tc>
        <w:tc>
          <w:tcPr>
            <w:tcW w:w="1845" w:type="dxa"/>
            <w:tcBorders>
              <w:top w:val="single" w:sz="4" w:space="0" w:color="000000"/>
              <w:left w:val="single" w:sz="4" w:space="0" w:color="000000"/>
              <w:bottom w:val="single" w:sz="4" w:space="0" w:color="000000"/>
            </w:tcBorders>
            <w:shd w:fill="auto" w:val="clear"/>
          </w:tcPr>
          <w:p>
            <w:pPr>
              <w:pStyle w:val="Normal"/>
              <w:rPr/>
            </w:pPr>
            <w:r>
              <w:rPr/>
              <w:t>Unit</w:t>
            </w:r>
          </w:p>
        </w:tc>
        <w:tc>
          <w:tcPr>
            <w:tcW w:w="2394" w:type="dxa"/>
            <w:tcBorders>
              <w:top w:val="single" w:sz="4" w:space="0" w:color="000000"/>
              <w:left w:val="single" w:sz="4" w:space="0" w:color="000000"/>
              <w:bottom w:val="single" w:sz="4" w:space="0" w:color="000000"/>
            </w:tcBorders>
            <w:shd w:fill="auto" w:val="clear"/>
          </w:tcPr>
          <w:p>
            <w:pPr>
              <w:pStyle w:val="Normal"/>
              <w:rPr/>
            </w:pPr>
            <w:r>
              <w:rPr/>
              <w:t>Exercised in 2019</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Plan for 2020</w:t>
            </w:r>
          </w:p>
        </w:tc>
      </w:tr>
      <w:tr>
        <w:trPr/>
        <w:tc>
          <w:tcPr>
            <w:tcW w:w="2943" w:type="dxa"/>
            <w:tcBorders>
              <w:top w:val="single" w:sz="4" w:space="0" w:color="000000"/>
              <w:left w:val="single" w:sz="4" w:space="0" w:color="000000"/>
              <w:bottom w:val="single" w:sz="4" w:space="0" w:color="000000"/>
            </w:tcBorders>
            <w:shd w:fill="auto" w:val="clear"/>
          </w:tcPr>
          <w:p>
            <w:pPr>
              <w:pStyle w:val="Normal"/>
              <w:numPr>
                <w:ilvl w:val="0"/>
                <w:numId w:val="1"/>
              </w:numPr>
              <w:rPr/>
            </w:pPr>
            <w:r>
              <w:rPr/>
              <w:t>Total revenue</w:t>
            </w:r>
          </w:p>
          <w:p>
            <w:pPr>
              <w:pStyle w:val="Normal"/>
              <w:numPr>
                <w:ilvl w:val="0"/>
                <w:numId w:val="1"/>
              </w:numPr>
              <w:rPr/>
            </w:pPr>
            <w:r>
              <w:rPr/>
              <w:t>Profit before tax</w:t>
            </w:r>
          </w:p>
          <w:p>
            <w:pPr>
              <w:pStyle w:val="Normal"/>
              <w:numPr>
                <w:ilvl w:val="0"/>
                <w:numId w:val="1"/>
              </w:numPr>
              <w:rPr/>
            </w:pPr>
            <w:r>
              <w:rPr/>
              <w:t>Payables for the State Budget</w:t>
            </w:r>
          </w:p>
          <w:p>
            <w:pPr>
              <w:pStyle w:val="Normal"/>
              <w:numPr>
                <w:ilvl w:val="0"/>
                <w:numId w:val="1"/>
              </w:numPr>
              <w:rPr/>
            </w:pPr>
            <w:r>
              <w:rPr/>
              <w:t>Dividend payment rate of 2019</w:t>
            </w:r>
          </w:p>
        </w:tc>
        <w:tc>
          <w:tcPr>
            <w:tcW w:w="1845" w:type="dxa"/>
            <w:tcBorders>
              <w:top w:val="single" w:sz="4" w:space="0" w:color="000000"/>
              <w:left w:val="single" w:sz="4" w:space="0" w:color="000000"/>
              <w:bottom w:val="single" w:sz="4" w:space="0" w:color="000000"/>
            </w:tcBorders>
            <w:shd w:fill="auto" w:val="clear"/>
          </w:tcPr>
          <w:p>
            <w:pPr>
              <w:pStyle w:val="Normal"/>
              <w:rPr/>
            </w:pPr>
            <w:r>
              <w:rPr/>
              <w:t>Billion VND</w:t>
            </w:r>
          </w:p>
          <w:p>
            <w:pPr>
              <w:pStyle w:val="Normal"/>
              <w:rPr/>
            </w:pPr>
            <w:r>
              <w:rPr/>
              <w:t>Billion VND</w:t>
            </w:r>
          </w:p>
          <w:p>
            <w:pPr>
              <w:pStyle w:val="Normal"/>
              <w:rPr/>
            </w:pPr>
            <w:r>
              <w:rPr/>
              <w:t>Billion VND</w:t>
            </w:r>
          </w:p>
          <w:p>
            <w:pPr>
              <w:pStyle w:val="Normal"/>
              <w:rPr/>
            </w:pPr>
            <w:r>
              <w:rPr/>
            </w:r>
          </w:p>
          <w:p>
            <w:pPr>
              <w:pStyle w:val="Normal"/>
              <w:rPr/>
            </w:pPr>
            <w:r>
              <w:rPr/>
              <w:t>&amp;</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168.8</w:t>
            </w:r>
          </w:p>
          <w:p>
            <w:pPr>
              <w:pStyle w:val="Normal"/>
              <w:jc w:val="right"/>
              <w:rPr/>
            </w:pPr>
            <w:r>
              <w:rPr/>
              <w:t>-1.59</w:t>
            </w:r>
          </w:p>
          <w:p>
            <w:pPr>
              <w:pStyle w:val="Normal"/>
              <w:jc w:val="right"/>
              <w:rPr/>
            </w:pPr>
            <w:r>
              <w:rPr/>
              <w:t>1.72</w:t>
            </w:r>
          </w:p>
          <w:p>
            <w:pPr>
              <w:pStyle w:val="Normal"/>
              <w:jc w:val="right"/>
              <w:rPr/>
            </w:pPr>
            <w:r>
              <w:rPr/>
            </w:r>
          </w:p>
          <w:p>
            <w:pPr>
              <w:pStyle w:val="Normal"/>
              <w:jc w:val="right"/>
              <w:rPr/>
            </w:pPr>
            <w:r>
              <w:rPr/>
              <w:t>7</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150</w:t>
            </w:r>
          </w:p>
          <w:p>
            <w:pPr>
              <w:pStyle w:val="Normal"/>
              <w:jc w:val="right"/>
              <w:rPr/>
            </w:pPr>
            <w:r>
              <w:rPr/>
              <w:t>1</w:t>
            </w:r>
          </w:p>
          <w:p>
            <w:pPr>
              <w:pStyle w:val="Normal"/>
              <w:jc w:val="right"/>
              <w:rPr/>
            </w:pPr>
            <w:r>
              <w:rPr/>
              <w:t>1.75</w:t>
            </w:r>
          </w:p>
          <w:p>
            <w:pPr>
              <w:pStyle w:val="Normal"/>
              <w:jc w:val="right"/>
              <w:rPr/>
            </w:pPr>
            <w:r>
              <w:rPr/>
            </w:r>
          </w:p>
          <w:p>
            <w:pPr>
              <w:pStyle w:val="Normal"/>
              <w:jc w:val="right"/>
              <w:rPr/>
            </w:pPr>
            <w:r>
              <w:rPr/>
              <w:t>Not implementing, keeping for investment</w:t>
            </w:r>
          </w:p>
        </w:tc>
      </w:tr>
    </w:tbl>
    <w:p>
      <w:pPr>
        <w:pStyle w:val="Normal"/>
        <w:rPr/>
      </w:pPr>
      <w:r>
        <w:rPr/>
      </w:r>
    </w:p>
    <w:p>
      <w:pPr>
        <w:pStyle w:val="Normal"/>
        <w:numPr>
          <w:ilvl w:val="0"/>
          <w:numId w:val="2"/>
        </w:numPr>
        <w:rPr/>
      </w:pPr>
      <w:r>
        <w:rPr/>
        <w:t>Approve the meeting time and venue for organizing the Annual General Meeting of Shareholders of 2020</w:t>
      </w:r>
    </w:p>
    <w:p>
      <w:pPr>
        <w:pStyle w:val="Normal"/>
        <w:numPr>
          <w:ilvl w:val="0"/>
          <w:numId w:val="1"/>
        </w:numPr>
        <w:rPr/>
      </w:pPr>
      <w:r>
        <w:rPr/>
        <w:t>Meeting time: At 8h30, on 28 Apr 2020</w:t>
      </w:r>
    </w:p>
    <w:p>
      <w:pPr>
        <w:pStyle w:val="Normal"/>
        <w:numPr>
          <w:ilvl w:val="0"/>
          <w:numId w:val="1"/>
        </w:numPr>
        <w:rPr/>
      </w:pPr>
      <w:r>
        <w:rPr/>
        <w:t>Venue: Tan Mai General Wood Joint Stock Company – No 84 Nguyen Van Hoa Street, Thong Nhat Ward, Bien Hoa, Dong Nai</w:t>
      </w:r>
    </w:p>
    <w:p>
      <w:pPr>
        <w:pStyle w:val="Normal"/>
        <w:numPr>
          <w:ilvl w:val="0"/>
          <w:numId w:val="2"/>
        </w:numPr>
        <w:rPr/>
      </w:pPr>
      <w:r>
        <w:rPr/>
        <w:t>Approve the contents for submissions at the Annual General Meeting of Shareholders of 2020</w:t>
      </w:r>
    </w:p>
    <w:p>
      <w:pPr>
        <w:pStyle w:val="Normal"/>
        <w:rPr/>
      </w:pPr>
      <w:r>
        <w:rPr/>
        <w:t>Article 02: Board of Directors assigned the Executive Board to:</w:t>
      </w:r>
    </w:p>
    <w:p>
      <w:pPr>
        <w:pStyle w:val="Normal"/>
        <w:numPr>
          <w:ilvl w:val="0"/>
          <w:numId w:val="1"/>
        </w:numPr>
        <w:rPr/>
      </w:pPr>
      <w:r>
        <w:rPr/>
        <w:t>Carry out the related procedures to protect the benefit of shareholders and legal benefit of the Company</w:t>
      </w:r>
    </w:p>
    <w:p>
      <w:pPr>
        <w:pStyle w:val="Normal"/>
        <w:numPr>
          <w:ilvl w:val="0"/>
          <w:numId w:val="1"/>
        </w:numPr>
        <w:rPr/>
      </w:pPr>
      <w:r>
        <w:rPr/>
        <w:t>Prepare the documents and contents for the Annual General Meeting of Shareholders and disclose the information in accordance with the regulations</w:t>
      </w:r>
    </w:p>
    <w:p>
      <w:pPr>
        <w:pStyle w:val="Normal"/>
        <w:numPr>
          <w:ilvl w:val="0"/>
          <w:numId w:val="1"/>
        </w:numPr>
        <w:rPr/>
      </w:pPr>
      <w:r>
        <w:rPr/>
        <w:t>Carry out the other tasks relating to organizing the Annual GSM of 2020 in accordance with the Laws and the Charter of he Company</w:t>
      </w:r>
    </w:p>
    <w:p>
      <w:pPr>
        <w:pStyle w:val="Normal"/>
        <w:rPr/>
      </w:pPr>
      <w:r>
        <w:rPr/>
        <w:t>Article 03: This board resolution was valid from the date of signature. Board of Directors, Board of Management of the Company and all the related units are responsible for the enforcement of this board resolution</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Fonts w:cs="Arial"/>
      </w:rPr>
    </w:lvl>
  </w:abstractNum>
  <w:abstractNum w:abstractNumId="2">
    <w:lvl w:ilvl="0">
      <w:start w:val="1"/>
      <w:numFmt w:val="decimal"/>
      <w:lvlText w:val="%1."/>
      <w:lvlJc w:val="left"/>
      <w:pPr>
        <w:ind w:left="72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WW8Num1z0">
    <w:name w:val="WW8Num1z0"/>
    <w:qFormat/>
    <w:rPr>
      <w:rFonts w:ascii="Arial" w:hAnsi="Arial" w:eastAsia="Calibri"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Calibri"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2020-04-02T23:54:00Z</dcterms:created>
  <dc:creator>Adminis</dc:creator>
  <dc:description/>
  <cp:keywords/>
  <dc:language>en-US</dc:language>
  <cp:lastModifiedBy>Adminis</cp:lastModifiedBy>
  <dcterms:modified xsi:type="dcterms:W3CDTF">2020-04-03T00:06:00Z</dcterms:modified>
  <cp:revision>21</cp:revision>
  <dc:subject/>
  <dc:title/>
</cp:coreProperties>
</file>